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0C" w:rsidRDefault="00700F0C" w:rsidP="00545A72">
      <w:pPr>
        <w:shd w:val="clear" w:color="auto" w:fill="FFFFFF"/>
        <w:spacing w:before="225" w:after="75" w:line="240" w:lineRule="auto"/>
        <w:ind w:left="375"/>
        <w:outlineLvl w:val="0"/>
        <w:rPr>
          <w:rFonts w:ascii="Tahoma" w:eastAsia="Times New Roman" w:hAnsi="Tahoma" w:cs="Tahoma"/>
          <w:color w:val="525252"/>
          <w:kern w:val="36"/>
          <w:sz w:val="27"/>
          <w:szCs w:val="27"/>
          <w:lang w:eastAsia="ru-RU"/>
        </w:rPr>
      </w:pPr>
      <w:hyperlink r:id="rId5" w:history="1">
        <w:r w:rsidRPr="009E490D">
          <w:rPr>
            <w:rStyle w:val="a3"/>
            <w:rFonts w:ascii="Tahoma" w:eastAsia="Times New Roman" w:hAnsi="Tahoma" w:cs="Tahoma"/>
            <w:kern w:val="36"/>
            <w:sz w:val="27"/>
            <w:szCs w:val="27"/>
            <w:lang w:eastAsia="ru-RU"/>
          </w:rPr>
          <w:t>https://adm.rkursk.ru/index.php?id=109&amp;mat_id=87867</w:t>
        </w:r>
      </w:hyperlink>
      <w:r>
        <w:rPr>
          <w:rFonts w:ascii="Tahoma" w:eastAsia="Times New Roman" w:hAnsi="Tahoma" w:cs="Tahoma"/>
          <w:color w:val="525252"/>
          <w:kern w:val="36"/>
          <w:sz w:val="27"/>
          <w:szCs w:val="27"/>
          <w:lang w:eastAsia="ru-RU"/>
        </w:rPr>
        <w:t xml:space="preserve"> </w:t>
      </w:r>
    </w:p>
    <w:p w:rsidR="00700F0C" w:rsidRDefault="00700F0C" w:rsidP="00545A72">
      <w:pPr>
        <w:shd w:val="clear" w:color="auto" w:fill="FFFFFF"/>
        <w:spacing w:before="225" w:after="75" w:line="240" w:lineRule="auto"/>
        <w:ind w:left="375"/>
        <w:outlineLvl w:val="0"/>
        <w:rPr>
          <w:rFonts w:ascii="Tahoma" w:eastAsia="Times New Roman" w:hAnsi="Tahoma" w:cs="Tahoma"/>
          <w:color w:val="525252"/>
          <w:kern w:val="36"/>
          <w:sz w:val="27"/>
          <w:szCs w:val="27"/>
          <w:lang w:eastAsia="ru-RU"/>
        </w:rPr>
      </w:pPr>
      <w:r>
        <w:rPr>
          <w:rFonts w:ascii="Tahoma" w:eastAsia="Times New Roman" w:hAnsi="Tahoma" w:cs="Tahoma"/>
          <w:color w:val="525252"/>
          <w:kern w:val="36"/>
          <w:sz w:val="27"/>
          <w:szCs w:val="27"/>
          <w:lang w:eastAsia="ru-RU"/>
        </w:rPr>
        <w:t>или</w:t>
      </w:r>
    </w:p>
    <w:p w:rsidR="00545A72" w:rsidRPr="00545A72" w:rsidRDefault="00545A72" w:rsidP="00545A72">
      <w:pPr>
        <w:shd w:val="clear" w:color="auto" w:fill="FFFFFF"/>
        <w:spacing w:before="225" w:after="75" w:line="240" w:lineRule="auto"/>
        <w:ind w:left="375"/>
        <w:outlineLvl w:val="0"/>
        <w:rPr>
          <w:rFonts w:ascii="Tahoma" w:eastAsia="Times New Roman" w:hAnsi="Tahoma" w:cs="Tahoma"/>
          <w:color w:val="525252"/>
          <w:kern w:val="36"/>
          <w:sz w:val="27"/>
          <w:szCs w:val="27"/>
          <w:lang w:eastAsia="ru-RU"/>
        </w:rPr>
      </w:pPr>
      <w:bookmarkStart w:id="0" w:name="_GoBack"/>
      <w:bookmarkEnd w:id="0"/>
      <w:r w:rsidRPr="00545A72">
        <w:rPr>
          <w:rFonts w:ascii="Tahoma" w:eastAsia="Times New Roman" w:hAnsi="Tahoma" w:cs="Tahoma"/>
          <w:color w:val="525252"/>
          <w:kern w:val="36"/>
          <w:sz w:val="27"/>
          <w:szCs w:val="27"/>
          <w:lang w:eastAsia="ru-RU"/>
        </w:rPr>
        <w:t>Программа госгарантий оказания бесплатной медпомощи на 2019 год</w:t>
      </w:r>
    </w:p>
    <w:tbl>
      <w:tblPr>
        <w:tblpPr w:leftFromText="45" w:rightFromText="4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9"/>
      </w:tblGrid>
      <w:tr w:rsidR="00545A72" w:rsidRPr="00545A72" w:rsidTr="00545A72">
        <w:tc>
          <w:tcPr>
            <w:tcW w:w="0" w:type="auto"/>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УТВЕРЖДЕНА </w:t>
            </w:r>
          </w:p>
          <w:p w:rsidR="00545A72" w:rsidRPr="00545A72" w:rsidRDefault="00700F0C" w:rsidP="00545A72">
            <w:pPr>
              <w:spacing w:after="0" w:line="240" w:lineRule="auto"/>
              <w:jc w:val="center"/>
              <w:rPr>
                <w:rFonts w:ascii="Tahoma" w:eastAsia="Times New Roman" w:hAnsi="Tahoma" w:cs="Tahoma"/>
                <w:color w:val="525252"/>
                <w:sz w:val="20"/>
                <w:szCs w:val="20"/>
                <w:lang w:eastAsia="ru-RU"/>
              </w:rPr>
            </w:pPr>
            <w:hyperlink r:id="rId6" w:history="1">
              <w:r w:rsidR="00545A72" w:rsidRPr="00545A72">
                <w:rPr>
                  <w:rFonts w:ascii="Tahoma" w:eastAsia="Times New Roman" w:hAnsi="Tahoma" w:cs="Tahoma"/>
                  <w:color w:val="9D080D"/>
                  <w:sz w:val="20"/>
                  <w:szCs w:val="20"/>
                  <w:lang w:eastAsia="ru-RU"/>
                </w:rPr>
                <w:t>Постановлением</w:t>
              </w:r>
            </w:hyperlink>
            <w:r w:rsidR="00545A72" w:rsidRPr="00545A72">
              <w:rPr>
                <w:rFonts w:ascii="Tahoma" w:eastAsia="Times New Roman" w:hAnsi="Tahoma" w:cs="Tahoma"/>
                <w:color w:val="525252"/>
                <w:sz w:val="20"/>
                <w:szCs w:val="20"/>
                <w:lang w:eastAsia="ru-RU"/>
              </w:rPr>
              <w:t> Администрации </w:t>
            </w:r>
            <w:r w:rsidR="00545A72" w:rsidRPr="00545A72">
              <w:rPr>
                <w:rFonts w:ascii="Tahoma" w:eastAsia="Times New Roman" w:hAnsi="Tahoma" w:cs="Tahoma"/>
                <w:color w:val="525252"/>
                <w:sz w:val="20"/>
                <w:szCs w:val="20"/>
                <w:lang w:eastAsia="ru-RU"/>
              </w:rPr>
              <w:br/>
              <w:t>Курской области </w:t>
            </w:r>
          </w:p>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от 28 декабря 2018 г. N 1078-па</w:t>
            </w:r>
          </w:p>
        </w:tc>
      </w:tr>
    </w:tbl>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ТЕРРИТОРИАЛЬНАЯ ПРОГРАММА </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государственных гарантий бесплатного оказания гражданам</w:t>
      </w:r>
      <w:r w:rsidRPr="00545A72">
        <w:rPr>
          <w:rFonts w:ascii="Tahoma" w:eastAsia="Times New Roman" w:hAnsi="Tahoma" w:cs="Tahoma"/>
          <w:b/>
          <w:bCs/>
          <w:color w:val="525252"/>
          <w:sz w:val="20"/>
          <w:szCs w:val="20"/>
          <w:lang w:eastAsia="ru-RU"/>
        </w:rPr>
        <w:br/>
        <w:t>медицинской помощи в Курской области на 2019 год</w:t>
      </w:r>
      <w:r w:rsidRPr="00545A72">
        <w:rPr>
          <w:rFonts w:ascii="Tahoma" w:eastAsia="Times New Roman" w:hAnsi="Tahoma" w:cs="Tahoma"/>
          <w:b/>
          <w:bCs/>
          <w:color w:val="525252"/>
          <w:sz w:val="20"/>
          <w:szCs w:val="20"/>
          <w:lang w:eastAsia="ru-RU"/>
        </w:rPr>
        <w:br/>
        <w:t>и на плановый период 2020 и 2021 годов.</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I. Общие положения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Территориальная программа государственных гарантий бесплатного оказания гражданам медицинской помощи в Курской области на 2019 год и на плановый период 2020 и 2021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качества и доступности медицинской помощи.</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II. Перечень видов, форм и условий предоставления медицинской помощи, оказание которой осуществляется бесплатно</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45A72" w:rsidRPr="00545A72" w:rsidRDefault="00545A72" w:rsidP="00545A72">
      <w:pPr>
        <w:numPr>
          <w:ilvl w:val="0"/>
          <w:numId w:val="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первичная медико-санитарная помощь, в том числе первичная доврачебная, первичная врачебная и первичная специализированная;</w:t>
      </w:r>
    </w:p>
    <w:p w:rsidR="00545A72" w:rsidRPr="00545A72" w:rsidRDefault="00545A72" w:rsidP="00545A72">
      <w:pPr>
        <w:numPr>
          <w:ilvl w:val="0"/>
          <w:numId w:val="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специализированная, в том числе высокотехнологичная, медицинская помощь;</w:t>
      </w:r>
    </w:p>
    <w:p w:rsidR="00545A72" w:rsidRPr="00545A72" w:rsidRDefault="00545A72" w:rsidP="00545A72">
      <w:pPr>
        <w:numPr>
          <w:ilvl w:val="0"/>
          <w:numId w:val="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скорая, в том числе скорая специализированная, медицинская помощь;</w:t>
      </w:r>
    </w:p>
    <w:p w:rsidR="00545A72" w:rsidRPr="00545A72" w:rsidRDefault="00545A72" w:rsidP="00545A72">
      <w:pPr>
        <w:numPr>
          <w:ilvl w:val="0"/>
          <w:numId w:val="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паллиативная медицинская помощь, оказываемая медицинскими организациями.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Понятие «медицинская организация» используется в территориальной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установленным постановлением Правительства Российской Федерации от 10 декабря 2018 года №1506 «О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Медицинская помощь оказывается в следующих формах:</w:t>
      </w:r>
    </w:p>
    <w:p w:rsidR="00545A72" w:rsidRPr="00545A72" w:rsidRDefault="00545A72" w:rsidP="00545A72">
      <w:pPr>
        <w:numPr>
          <w:ilvl w:val="0"/>
          <w:numId w:val="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45A72" w:rsidRPr="00545A72" w:rsidRDefault="00545A72" w:rsidP="00545A72">
      <w:pPr>
        <w:numPr>
          <w:ilvl w:val="0"/>
          <w:numId w:val="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45A72" w:rsidRPr="00545A72" w:rsidRDefault="00545A72" w:rsidP="00545A72">
      <w:pPr>
        <w:numPr>
          <w:ilvl w:val="0"/>
          <w:numId w:val="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инфекционные и паразитарные болезни;</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новообразования;</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эндокринной системы;</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расстройства питания и нарушения обмена веществ;</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нервной системы;</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крови, кроветворных органов;</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отдельные нарушения, вовлекающие иммунный механизм;</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глаза и его придаточного аппарата;</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уха и сосцевидного отростка;</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системы кровообращения;</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органов дыхания;</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органов пищеварения, в том числе болезни полости рта, слюнных желез и челюстей (за исключением зубного протезирования);</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мочеполовой системы;</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кожи и подкожной клетчатки;</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болезни костно-мышечной системы и соединительной ткани;</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травмы, отравления и некоторые другие последствия воздействия внешних причин;</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врожденные аномалии (пороки развития);</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деформации и хромосомные нарушения;</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беременность, роды, послеродовой период и аборты;</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отдельные состояния, возникающие у детей в перинатальный период;</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психические расстройства и расстройства поведения;</w:t>
      </w:r>
    </w:p>
    <w:p w:rsidR="00545A72" w:rsidRPr="00545A72" w:rsidRDefault="00545A72" w:rsidP="00545A72">
      <w:pPr>
        <w:numPr>
          <w:ilvl w:val="0"/>
          <w:numId w:val="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симптомы, признаки и отклонения от нормы, не отнесенные к заболеваниям и состояниям.</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Гражданин имеет право на бесплатный профилактический медицинский осмотр не реже одного раза в год.</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соответствии с законодательством Российской Федерации отдельные категории граждан имеют право на:</w:t>
      </w:r>
    </w:p>
    <w:p w:rsidR="00545A72" w:rsidRPr="00545A72" w:rsidRDefault="00545A72" w:rsidP="00545A72">
      <w:pPr>
        <w:numPr>
          <w:ilvl w:val="0"/>
          <w:numId w:val="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обеспечение лекарственными препаратами (в соответствии с разделом V территориальной программы);</w:t>
      </w:r>
    </w:p>
    <w:p w:rsidR="00545A72" w:rsidRPr="00545A72" w:rsidRDefault="00545A72" w:rsidP="00545A72">
      <w:pPr>
        <w:numPr>
          <w:ilvl w:val="0"/>
          <w:numId w:val="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45A72" w:rsidRPr="00545A72" w:rsidRDefault="00545A72" w:rsidP="00545A72">
      <w:pPr>
        <w:numPr>
          <w:ilvl w:val="0"/>
          <w:numId w:val="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45A72" w:rsidRPr="00545A72" w:rsidRDefault="00545A72" w:rsidP="00545A72">
      <w:pPr>
        <w:numPr>
          <w:ilvl w:val="0"/>
          <w:numId w:val="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45A72" w:rsidRPr="00545A72" w:rsidRDefault="00545A72" w:rsidP="00545A72">
      <w:pPr>
        <w:numPr>
          <w:ilvl w:val="0"/>
          <w:numId w:val="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45A72" w:rsidRPr="00545A72" w:rsidRDefault="00545A72" w:rsidP="00545A72">
      <w:pPr>
        <w:numPr>
          <w:ilvl w:val="0"/>
          <w:numId w:val="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пренатальную (дородовую) диагностику нарушений развития ребенка - беременные женщины;</w:t>
      </w:r>
    </w:p>
    <w:p w:rsidR="00545A72" w:rsidRPr="00545A72" w:rsidRDefault="00545A72" w:rsidP="00545A72">
      <w:pPr>
        <w:numPr>
          <w:ilvl w:val="0"/>
          <w:numId w:val="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неонатальный скрининг на 5 наследственных и врожденных заболеваний - новорожденные дети;</w:t>
      </w:r>
    </w:p>
    <w:p w:rsidR="00545A72" w:rsidRPr="00545A72" w:rsidRDefault="00545A72" w:rsidP="00545A72">
      <w:pPr>
        <w:numPr>
          <w:ilvl w:val="0"/>
          <w:numId w:val="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аудиологический скрининг – новорожденные дети и дети первого года жизни.</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IV. Территориальная программа обязательного медицинского страхования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Территориальная программа обязательного медицинского страхования является составной частью территориальной программы.</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рамках территориальной программы обязательного медицинского страхования:</w:t>
      </w:r>
    </w:p>
    <w:p w:rsidR="00545A72" w:rsidRPr="00545A72" w:rsidRDefault="00545A72" w:rsidP="00545A72">
      <w:pPr>
        <w:numPr>
          <w:ilvl w:val="0"/>
          <w:numId w:val="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45A72" w:rsidRPr="00545A72" w:rsidRDefault="00545A72" w:rsidP="00545A72">
      <w:pPr>
        <w:numPr>
          <w:ilvl w:val="0"/>
          <w:numId w:val="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 том числе их отдельных категорий,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комитетом здравоохранения Курской области, территориальным фондом обязательного медицинского страхования Курской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45A72" w:rsidRPr="00545A72" w:rsidRDefault="00545A72" w:rsidP="00545A72">
      <w:pPr>
        <w:numPr>
          <w:ilvl w:val="0"/>
          <w:numId w:val="6"/>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45A72" w:rsidRPr="00545A72" w:rsidRDefault="00545A72" w:rsidP="00545A72">
      <w:pPr>
        <w:numPr>
          <w:ilvl w:val="0"/>
          <w:numId w:val="6"/>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45A72" w:rsidRPr="00545A72" w:rsidRDefault="00545A72" w:rsidP="00545A72">
      <w:pPr>
        <w:numPr>
          <w:ilvl w:val="0"/>
          <w:numId w:val="6"/>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45A72" w:rsidRPr="00545A72" w:rsidRDefault="00545A72" w:rsidP="00545A72">
      <w:pPr>
        <w:numPr>
          <w:ilvl w:val="0"/>
          <w:numId w:val="6"/>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врачам-специалистам за оказанную медицинскую помощь в амбулаторных условиях.</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w:t>
      </w:r>
    </w:p>
    <w:p w:rsidR="00545A72" w:rsidRPr="00545A72" w:rsidRDefault="00545A72" w:rsidP="00545A72">
      <w:pPr>
        <w:numPr>
          <w:ilvl w:val="0"/>
          <w:numId w:val="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оплате медицинской помощи, оказанной в амбулаторных условиях:</w:t>
      </w:r>
    </w:p>
    <w:p w:rsidR="00545A72" w:rsidRPr="00545A72" w:rsidRDefault="00545A72" w:rsidP="00545A72">
      <w:pPr>
        <w:numPr>
          <w:ilvl w:val="1"/>
          <w:numId w:val="7"/>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45A72" w:rsidRPr="00545A72" w:rsidRDefault="00545A72" w:rsidP="00545A72">
      <w:pPr>
        <w:numPr>
          <w:ilvl w:val="1"/>
          <w:numId w:val="7"/>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Курской области, а также в отдельных медицинских организациях, не имеющих прикрепившихся лиц);</w:t>
      </w:r>
    </w:p>
    <w:p w:rsidR="00545A72" w:rsidRPr="00545A72" w:rsidRDefault="00545A72" w:rsidP="00545A72">
      <w:pPr>
        <w:numPr>
          <w:ilvl w:val="1"/>
          <w:numId w:val="7"/>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45A72" w:rsidRPr="00545A72" w:rsidRDefault="00545A72" w:rsidP="00545A72">
      <w:pPr>
        <w:numPr>
          <w:ilvl w:val="0"/>
          <w:numId w:val="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45A72" w:rsidRPr="00545A72" w:rsidRDefault="00545A72" w:rsidP="00545A72">
      <w:pPr>
        <w:numPr>
          <w:ilvl w:val="1"/>
          <w:numId w:val="7"/>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45A72" w:rsidRPr="00545A72" w:rsidRDefault="00545A72" w:rsidP="00545A72">
      <w:pPr>
        <w:numPr>
          <w:ilvl w:val="1"/>
          <w:numId w:val="7"/>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45A72" w:rsidRPr="00545A72" w:rsidRDefault="00545A72" w:rsidP="00545A72">
      <w:pPr>
        <w:numPr>
          <w:ilvl w:val="0"/>
          <w:numId w:val="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оплате медицинской помощи, оказанной в условиях дневного стационара:</w:t>
      </w:r>
    </w:p>
    <w:p w:rsidR="00545A72" w:rsidRPr="00545A72" w:rsidRDefault="00545A72" w:rsidP="00545A72">
      <w:pPr>
        <w:numPr>
          <w:ilvl w:val="1"/>
          <w:numId w:val="7"/>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45A72" w:rsidRPr="00545A72" w:rsidRDefault="00545A72" w:rsidP="00545A72">
      <w:pPr>
        <w:numPr>
          <w:ilvl w:val="1"/>
          <w:numId w:val="7"/>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45A72" w:rsidRPr="00545A72" w:rsidRDefault="00545A72" w:rsidP="00545A72">
      <w:pPr>
        <w:numPr>
          <w:ilvl w:val="0"/>
          <w:numId w:val="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w:t>
      </w:r>
      <w:r w:rsidRPr="00545A72">
        <w:rPr>
          <w:rFonts w:ascii="Tahoma" w:eastAsia="Times New Roman" w:hAnsi="Tahoma" w:cs="Tahoma"/>
          <w:color w:val="525252"/>
          <w:sz w:val="20"/>
          <w:szCs w:val="20"/>
          <w:lang w:eastAsia="ru-RU"/>
        </w:rPr>
        <w:lastRenderedPageBreak/>
        <w:t>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разделом VII территориальной программы).</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Курской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V. Финансовое обеспечение территориальной программы</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Источниками финансового обеспечения территориальной программы являются средства федерального бюджета, областного бюджета, средства обязательного медицинского страхования.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счет средств обязательного медицинского страхования в рамках территориальной программы обязательного медицинского страхования:</w:t>
      </w:r>
    </w:p>
    <w:p w:rsidR="00545A72" w:rsidRPr="00545A72" w:rsidRDefault="00545A72" w:rsidP="00545A72">
      <w:pPr>
        <w:numPr>
          <w:ilvl w:val="0"/>
          <w:numId w:val="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45A72" w:rsidRPr="00545A72" w:rsidRDefault="00545A72" w:rsidP="00545A72">
      <w:pPr>
        <w:numPr>
          <w:ilvl w:val="0"/>
          <w:numId w:val="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счет бюджетных ассигнований бюджета Федерального фонда обязательного медицинского страхования осуществляются:</w:t>
      </w:r>
    </w:p>
    <w:p w:rsidR="00545A72" w:rsidRPr="00545A72" w:rsidRDefault="00545A72" w:rsidP="00545A72">
      <w:pPr>
        <w:numPr>
          <w:ilvl w:val="0"/>
          <w:numId w:val="9"/>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xml:space="preserve">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w:t>
      </w:r>
      <w:r w:rsidRPr="00545A72">
        <w:rPr>
          <w:rFonts w:ascii="Tahoma" w:eastAsia="Times New Roman" w:hAnsi="Tahoma" w:cs="Tahoma"/>
          <w:color w:val="525252"/>
          <w:sz w:val="20"/>
          <w:szCs w:val="20"/>
          <w:lang w:eastAsia="ru-RU"/>
        </w:rPr>
        <w:lastRenderedPageBreak/>
        <w:t>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счет бюджетных ассигнований федерального бюджета осуществляется финансовое обеспечение:</w:t>
      </w:r>
    </w:p>
    <w:p w:rsidR="00545A72" w:rsidRPr="00545A72" w:rsidRDefault="00545A72" w:rsidP="00545A72">
      <w:pPr>
        <w:numPr>
          <w:ilvl w:val="0"/>
          <w:numId w:val="10"/>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45A72" w:rsidRPr="00545A72" w:rsidRDefault="00545A72" w:rsidP="00545A72">
      <w:pPr>
        <w:numPr>
          <w:ilvl w:val="0"/>
          <w:numId w:val="10"/>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45A72" w:rsidRPr="00545A72" w:rsidRDefault="00545A72" w:rsidP="00545A72">
      <w:pPr>
        <w:numPr>
          <w:ilvl w:val="0"/>
          <w:numId w:val="10"/>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45A72" w:rsidRPr="00545A72" w:rsidRDefault="00545A72" w:rsidP="00545A72">
      <w:pPr>
        <w:numPr>
          <w:ilvl w:val="0"/>
          <w:numId w:val="10"/>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6² Федерального закона «О государственной социальной помощи»;</w:t>
      </w:r>
    </w:p>
    <w:p w:rsidR="00545A72" w:rsidRPr="00545A72" w:rsidRDefault="00545A72" w:rsidP="00545A72">
      <w:pPr>
        <w:numPr>
          <w:ilvl w:val="0"/>
          <w:numId w:val="10"/>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2017г. № 1640 «Об утверждении государственной программы Российской Федерации «Развитие здравоохранения».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счет бюджетных ассигнований областного бюджета осуществляется финансовое обеспечение:</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высокотехнологичной медицинской помощи, оказываемой в медицинских организациях, подведомственных комитету здравоохранения Курской области, в соответствии с разделом II перечня видов высокотехнологичной медицинской помощи;</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по перечню согласно приложению №4 к настоящей территориальной программе;</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№4 к настоящей территориальной программе;</w:t>
      </w:r>
    </w:p>
    <w:p w:rsidR="00545A72" w:rsidRPr="00545A72" w:rsidRDefault="00545A72" w:rsidP="00545A72">
      <w:pPr>
        <w:numPr>
          <w:ilvl w:val="0"/>
          <w:numId w:val="11"/>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комитету здравоохранения Курской области, за исключением видов медицинской помощи, оказываемой за счет средств обязательного медицинского страхования:</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ОКУЗ «Областной специализированный Дом ребенка»;</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ОБУЗ «Госпиталь для ветеранов войн»;</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отделение «Центр по профилактике и борьбе со СПИД и инфекционными заболеваниями» ОБУЗ «Курский областной клинический кожно-венерологический диспансер»;</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ОБУЗ «Центр медицинской профилактики»;</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ОКУЗ «Курский территориальный центр медицины катастроф»;</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Курский региональный центр судебной психиатрии, отделение судебно-психиатрической экспертизы ОБУЗ «Курская клиническая психиатрическая больница имени святого великомученика и целителя Пантелеимона»;</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ОБУЗ «Курская областная клиническая станция переливания крови;</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ОКУЗ особого типа «Курский областной медицинский мобилизационных резервов «Резерв»;</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ОБУЗ «Бюро судебно-медицинской экспертизы»;</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ОБУЗ особого типа «Медицинский информационно-аналитический центр»;</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ОБУЗ «Областное патологоанатомическое бюро;</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Курский областной центр профпатологии ОБУЗ «Курская городская больница №6»;</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Патологоанатомическое отделение ОБУЗ «Курская городская клиническая больница скорой медицинской помощи»;</w:t>
      </w:r>
    </w:p>
    <w:p w:rsidR="00545A72" w:rsidRPr="00545A72" w:rsidRDefault="00545A72" w:rsidP="00545A72">
      <w:pPr>
        <w:numPr>
          <w:ilvl w:val="0"/>
          <w:numId w:val="12"/>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Патологоанатомическое отделение ОБУЗ «Курская городская клиническая больница №4».</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Также за счет бюджетных ассигнований бюджета Курской области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счет бюджетных ассигнований областного бюджета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VI. Нормативы объема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Нормативы объема медицинской помощи по ее видам в целом по территориальной программе рассчитываются в единицах объема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настоящей территориальной программой, и составляют:</w:t>
      </w:r>
    </w:p>
    <w:p w:rsidR="00545A72" w:rsidRPr="00545A72" w:rsidRDefault="00545A72" w:rsidP="00545A72">
      <w:pPr>
        <w:numPr>
          <w:ilvl w:val="0"/>
          <w:numId w:val="1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 за счет бюджетных ассигнований на 2019-2021 годы - 0,01196 вызова на 1 жителя;</w:t>
      </w:r>
    </w:p>
    <w:p w:rsidR="00545A72" w:rsidRPr="00545A72" w:rsidRDefault="00545A72" w:rsidP="00545A72">
      <w:pPr>
        <w:numPr>
          <w:ilvl w:val="0"/>
          <w:numId w:val="1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на 2019 – 2021 годы – 0,73 посещения на 1 жителя (включая посещения по оказанию паллиативной медицинской помощи в амбулаторных условиях, в том числе на дому) (в том числе 0,3869 посещения на 1 жителя в медицинских организациях первого уровня, 0,2816 посещения на 1 жителя в медицинских организациях второго уровня, 0,0615 посещения на 1 жителя в медицинских организациях третьего уровня); в рамках территориальной программы обязательного медицинского страхования на 2019 год – 2,88 посещения на 1 застрахованное лицо (в том числе 1,414 посещения на 1 застрахованное лицо в медицинских организациях первого уровня, 1,178 посещения на 1 застрахованное лицо в медицинских организациях второго уровня, 0,288 посещения на 1 застрахованное лицо в медицинских организациях третьего уровня), на 2020 год - 2,9 посещения на 1 застрахованное лицо, на 2021 год - 2,92 посещения на 1 застрахованное лицо, в том числе:</w:t>
      </w:r>
    </w:p>
    <w:p w:rsidR="00545A72" w:rsidRPr="00545A72" w:rsidRDefault="00545A72" w:rsidP="00545A72">
      <w:pPr>
        <w:numPr>
          <w:ilvl w:val="1"/>
          <w:numId w:val="13"/>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для проведения профилактических медицинских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 посещений на 1 застрахованное лицо, на 2020 год – 0,808 посещения на 1 застрахованное лицо, на 2021 год – 0,826 посещения на 1 застрахованное лицо;</w:t>
      </w:r>
    </w:p>
    <w:p w:rsidR="00545A72" w:rsidRPr="00545A72" w:rsidRDefault="00545A72" w:rsidP="00545A72">
      <w:pPr>
        <w:numPr>
          <w:ilvl w:val="0"/>
          <w:numId w:val="1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xml:space="preserve">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0,724 обращения на 1 застрахованное лицо в медицинских организациях первого уровня, 0,715 обращения на 1 застрахованное лицо в медицинских организациях второго уровня, 0,331 обращения на 1 застрахованное лицо в медицинских организациях третьего уровня); за счет бюджетных </w:t>
      </w:r>
      <w:r w:rsidRPr="00545A72">
        <w:rPr>
          <w:rFonts w:ascii="Tahoma" w:eastAsia="Times New Roman" w:hAnsi="Tahoma" w:cs="Tahoma"/>
          <w:color w:val="525252"/>
          <w:sz w:val="20"/>
          <w:szCs w:val="20"/>
          <w:lang w:eastAsia="ru-RU"/>
        </w:rPr>
        <w:lastRenderedPageBreak/>
        <w:t>ассигнований на 2019-2021 годы - 0,144 обращения на 1 жителя (в том числе 0,026 обращения на 1 жителя в медицинских организациях первого уровня, 0,113 обращения на 1 жителя в медицинских организациях второго уровня, 0,005 обращения на 1 жителя в медицинских организациях третьего уровня);</w:t>
      </w:r>
    </w:p>
    <w:p w:rsidR="00545A72" w:rsidRPr="00545A72" w:rsidRDefault="00545A72" w:rsidP="00545A72">
      <w:pPr>
        <w:numPr>
          <w:ilvl w:val="0"/>
          <w:numId w:val="1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545A72" w:rsidRPr="00545A72" w:rsidRDefault="00545A72" w:rsidP="00545A72">
      <w:pPr>
        <w:numPr>
          <w:ilvl w:val="0"/>
          <w:numId w:val="1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для медицинской помощи в условиях дневных стационаров в рамках территориальной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(в том числе 0,0227 случая лечения на 1 застрахованное лицо в медицинских организациях первого уровня, 0,0227 случая лечения на 1 застрахованное лицо в медицинских организациях второго уровня, 0,0166 случая лечения на 1 застрахованное лицо в медицинских организациях третьего уровня); за счет бюджетных ассигнований на 2019-2021 годы - 0,0036 случая лечения на 1 жителя;</w:t>
      </w:r>
    </w:p>
    <w:p w:rsidR="00545A72" w:rsidRPr="00545A72" w:rsidRDefault="00545A72" w:rsidP="00545A72">
      <w:pPr>
        <w:numPr>
          <w:ilvl w:val="0"/>
          <w:numId w:val="1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для специализированной медицинской помощи в стационарных условиях за счет бюджетных ассигнований соответствующих бюджетов на 2019 – 2021 годы – 0,01314 случая госпитализации на 1 жителя; в рамках территориальной программы обязательного медицинского страхования на 2019 год – 0,17443 случая госпитализации на 1 застрахованное лицо (в том числе 0,02828 случая госпитализации на 1 застрахованное лицо в медицинских организациях первого уровня, 0,0623 случая госпитализации на 1 застрахованное лицо в медицинских организациях второго уровня, 0,08385 случая госпитализации на 1 застрахованное лицо в медицинских организациях третьего уровня), на 2020 годы – 0,17557 случая госпитализации на 1 застрахованное лицо, на 2021 год – 0,1761 случая госпитализации на 1 застрахованное лицо, в том числе для:</w:t>
      </w:r>
    </w:p>
    <w:p w:rsidR="00545A72" w:rsidRPr="00545A72" w:rsidRDefault="00545A72" w:rsidP="00545A72">
      <w:pPr>
        <w:numPr>
          <w:ilvl w:val="1"/>
          <w:numId w:val="13"/>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545A72" w:rsidRPr="00545A72" w:rsidRDefault="00545A72" w:rsidP="00545A72">
      <w:pPr>
        <w:numPr>
          <w:ilvl w:val="1"/>
          <w:numId w:val="13"/>
        </w:numPr>
        <w:shd w:val="clear" w:color="auto" w:fill="FFFFFF"/>
        <w:spacing w:before="100" w:beforeAutospacing="1" w:after="100" w:afterAutospacing="1" w:line="240" w:lineRule="auto"/>
        <w:ind w:left="30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для медицинской реабилитации для детей в возрасте 0–17 лет с учетом реальной потребности);</w:t>
      </w:r>
    </w:p>
    <w:p w:rsidR="00545A72" w:rsidRPr="00545A72" w:rsidRDefault="00545A72" w:rsidP="00545A72">
      <w:pPr>
        <w:numPr>
          <w:ilvl w:val="0"/>
          <w:numId w:val="13"/>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для паллиативной медицинской помощи в стационарных условиях за счет бюджетных ассигнований на 2019-2021 годы - 0,092 койко-дня на 1 жителя..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Средние 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Объем высокотехнологичной медицинской помощи в целом по территориальной программе в расчете на 1 жителя составляет на 2019 – 2021 годы 0,006 случая госпитализации.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областного бюджета.</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VII. Нормативы финансовых затрат на единицу объема медицинской помощи, подушевые нормативы финансирования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Нормативы финансовых затрат на единицу объема медицинской помощи на 2019 год составляют:</w:t>
      </w:r>
    </w:p>
    <w:p w:rsidR="00545A72" w:rsidRPr="00545A72" w:rsidRDefault="00545A72" w:rsidP="00545A72">
      <w:pPr>
        <w:numPr>
          <w:ilvl w:val="0"/>
          <w:numId w:val="1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на 1 вызов скорой медицинской помощи за счет средств обязательного медицинского страхования – 2314,0 рубля; за счет средств областного бюджета – 5334,6 рубля.</w:t>
      </w:r>
    </w:p>
    <w:p w:rsidR="00545A72" w:rsidRPr="00545A72" w:rsidRDefault="00545A72" w:rsidP="00545A72">
      <w:pPr>
        <w:numPr>
          <w:ilvl w:val="0"/>
          <w:numId w:val="1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545A72" w:rsidRPr="00545A72" w:rsidRDefault="00545A72" w:rsidP="00545A72">
      <w:pPr>
        <w:numPr>
          <w:ilvl w:val="0"/>
          <w:numId w:val="1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1277,3 рубля, за счет средств обязательного медицинского страхования – 1314,8 рубля;</w:t>
      </w:r>
    </w:p>
    <w:p w:rsidR="00545A72" w:rsidRPr="00545A72" w:rsidRDefault="00545A72" w:rsidP="00545A72">
      <w:pPr>
        <w:numPr>
          <w:ilvl w:val="0"/>
          <w:numId w:val="1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545A72" w:rsidRPr="00545A72" w:rsidRDefault="00545A72" w:rsidP="00545A72">
      <w:pPr>
        <w:numPr>
          <w:ilvl w:val="0"/>
          <w:numId w:val="1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случай лечения в условиях дневных стационаров за счет средств областного бюджета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545A72" w:rsidRPr="00545A72" w:rsidRDefault="00545A72" w:rsidP="00545A72">
      <w:pPr>
        <w:numPr>
          <w:ilvl w:val="0"/>
          <w:numId w:val="1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545A72" w:rsidRPr="00545A72" w:rsidRDefault="00545A72" w:rsidP="00545A72">
      <w:pPr>
        <w:numPr>
          <w:ilvl w:val="0"/>
          <w:numId w:val="1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545A72" w:rsidRPr="00545A72" w:rsidRDefault="00545A72" w:rsidP="00545A72">
      <w:pPr>
        <w:numPr>
          <w:ilvl w:val="0"/>
          <w:numId w:val="14"/>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2022,9 рубля.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545A72" w:rsidRPr="00545A72" w:rsidRDefault="00545A72" w:rsidP="00545A72">
      <w:pPr>
        <w:numPr>
          <w:ilvl w:val="0"/>
          <w:numId w:val="1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вызов скорой медицинской помощи за счет средств обязательного медицинского страхования – 2408,3 рубля на 2020 год, 2513,8 рубля на 2021 год;</w:t>
      </w:r>
    </w:p>
    <w:p w:rsidR="00545A72" w:rsidRPr="00545A72" w:rsidRDefault="00545A72" w:rsidP="00545A72">
      <w:pPr>
        <w:numPr>
          <w:ilvl w:val="0"/>
          <w:numId w:val="1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457,2 рубля на 2020 год, 475,5 рубля на 2021 год; за счет средств обязательного медицинского страхования – 499,7 рубля на 2020 год, 519 рублей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545A72" w:rsidRPr="00545A72" w:rsidRDefault="00545A72" w:rsidP="00545A72">
      <w:pPr>
        <w:numPr>
          <w:ilvl w:val="0"/>
          <w:numId w:val="1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–1325,8 рубля на 2020 год, 1378,9 рубля на 2021 год; за счет средств обязательного медицинского страхования – 1362,5 рубля на 2020 год, 1419,2 рубля на 2021 год;</w:t>
      </w:r>
    </w:p>
    <w:p w:rsidR="00545A72" w:rsidRPr="00545A72" w:rsidRDefault="00545A72" w:rsidP="00545A72">
      <w:pPr>
        <w:numPr>
          <w:ilvl w:val="0"/>
          <w:numId w:val="1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616,1 рубля на 2020 год, 650 рублей на 2021 год;</w:t>
      </w:r>
    </w:p>
    <w:p w:rsidR="00545A72" w:rsidRPr="00545A72" w:rsidRDefault="00545A72" w:rsidP="00545A72">
      <w:pPr>
        <w:numPr>
          <w:ilvl w:val="0"/>
          <w:numId w:val="1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случай лечения в условиях дневных стационаров за счет средств областного бюджета – 13541,2 рубля на 2020 год, 14082,9 рубля на 2021 год; за счет средств обязательного медицинского страхования – 20112,9 рубля на 2020 год и 21145,2 рубля на 2021 год, на 1 случай лечения по профилю «Онкология» за счет средств обязательного медицинского страхования – 74796 рублей на 2020 год и 77835 рублей на 2021 год;</w:t>
      </w:r>
    </w:p>
    <w:p w:rsidR="00545A72" w:rsidRPr="00545A72" w:rsidRDefault="00545A72" w:rsidP="00545A72">
      <w:pPr>
        <w:numPr>
          <w:ilvl w:val="0"/>
          <w:numId w:val="1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w:t>
      </w:r>
      <w:r w:rsidRPr="00545A72">
        <w:rPr>
          <w:rFonts w:ascii="Tahoma" w:eastAsia="Times New Roman" w:hAnsi="Tahoma" w:cs="Tahoma"/>
          <w:color w:val="525252"/>
          <w:sz w:val="20"/>
          <w:szCs w:val="20"/>
          <w:lang w:eastAsia="ru-RU"/>
        </w:rPr>
        <w:lastRenderedPageBreak/>
        <w:t>бюджета – 78432,1 рубля на 2020 год, 81569,4 рубля на 2021 год; за счет средств обязательного медицинского страхования – 34986 рублей на 2020 год, 37512,8 рубля на 2021 год,  на 1 случай госпитализации по профилю «Онкология» за счет средств обязательного медицинского страхования – 99208,9 рубля на 2020 год и 109891,2 рубля на 2021 год;</w:t>
      </w:r>
    </w:p>
    <w:p w:rsidR="00545A72" w:rsidRPr="00545A72" w:rsidRDefault="00545A72" w:rsidP="00545A72">
      <w:pPr>
        <w:numPr>
          <w:ilvl w:val="0"/>
          <w:numId w:val="1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34928,1 рубля на 2020 год и 35342,5 рубля на 2021 год;</w:t>
      </w:r>
    </w:p>
    <w:p w:rsidR="00545A72" w:rsidRPr="00545A72" w:rsidRDefault="00545A72" w:rsidP="00545A72">
      <w:pPr>
        <w:numPr>
          <w:ilvl w:val="0"/>
          <w:numId w:val="15"/>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 2099,8 рубля на 2020 год и 2183,8 рубля на 2021 год.</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Подушевые нормативы финансирования, предусмотренные территориальной программой (без учета расходов федерального бюджета), составляют:</w:t>
      </w:r>
    </w:p>
    <w:p w:rsidR="00545A72" w:rsidRPr="00545A72" w:rsidRDefault="00545A72" w:rsidP="00545A72">
      <w:pPr>
        <w:numPr>
          <w:ilvl w:val="0"/>
          <w:numId w:val="16"/>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счет бюджетных ассигнований областного бюджета (в расчете на 1 жителя) в 2019 году - 3488,6 рубля, в 2020 году – 3621,1 рубля; в 2021 году – 3765,9 рубля;</w:t>
      </w:r>
    </w:p>
    <w:p w:rsidR="00545A72" w:rsidRPr="00545A72" w:rsidRDefault="00545A72" w:rsidP="00545A72">
      <w:pPr>
        <w:numPr>
          <w:ilvl w:val="0"/>
          <w:numId w:val="16"/>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11745,8 рубля, а также 54,4 рубля на 1 застрахованное лицо на обеспечение выполнения территориальным фондом обязательного медицинского страхования своих функций. Кроме того, в подушевой норматив финансового обеспечения, предусмотренный территориальной программой обязательного медицинского страхования, включены 2,9 рубля на 1 застрахованное лицо за счет прочих поступлений; в 2020 году – 12696,9 рубля, в 2021 году – 13531,4 рубля.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Стоимость территориальной программы на 2019 год и на плановый период 2020 и 2021 годов утверждена в приложениях №1, №2 к настоящей территориальной программе.</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VIII. Порядок и условия предоставления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Плановая медицинская помощь оказывается на территории Курской области при представлении полиса обязательного медицинского страхования в части исполнения территориальной программы по обязательному медицинскому страхованию. Гражданам Российской Федерации, застрахованным за пределами Курской области, медицинская помощь на территории области оказывается в объемах, предусмотренных базовой программой обязательного медицинского страхования.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Территориальная программа и ее приложения должны находиться в каждой медицинской организации, ознакомление с ними должно быть доступно каждому пациенту (информация должна быть размещена на стендах, в регистратуре, приемных отделениях).</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Перечень медицинских организаций, участвующих в реализации территориальной программы, в том числе базовой программы обязательного медицинского страхования, утвержден в приложении №3 к настоящей территориальной программе.</w:t>
      </w:r>
    </w:p>
    <w:p w:rsidR="00545A72" w:rsidRPr="00545A72" w:rsidRDefault="00545A72" w:rsidP="00545A72">
      <w:pPr>
        <w:shd w:val="clear" w:color="auto" w:fill="FFFFFF"/>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b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Выбор лечащего врача осуществляется гражданином не чаще чем один раз в год, при этом выбираются врачи, оказывающие первичную медико-санитарную помощь: врач-терапевт, врач-педиатр, врач общей практики, фельдшер или акушерка. Лечащий врач назначается руководителем медицинской организации по выбору пациента с учетом согласия врача.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основании информации, представленной руководителем медицинской организации (ее подразделения), пациент в течение трех рабочих дней осуществляет выбор врача.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 основании информации, представленной руководителем подразделения медицинской организации, пациент в течение трех рабочих дней осуществляет выбор врача.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Возложение функций лечащего врача на врача соответствующей специальности осуществляется с учетом его согласия.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b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Курской области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Плановая медицинская помощь в медицинских организациях, находящихся на территории Курской области, во внеочередном порядке предоставляется следующим льготным категориям граждан:</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герои Советского Союза;</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герои Социалистического Труда;</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герои Российской Федерации;</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полные кавалеры ордена Трудовой Славы;</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инвалиды Великой Отечественной войны;</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участники Великой Отечественной войны и приравненные к ним категории граждан;</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ветераны боевых действий;</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лица, награжденные знаком «Жителю блокадного Ленинграда»;</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дети-инвалиды;</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инвалиды I - II группы;</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дети-сироты и дети, оставшиеся без попечения родителей;</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лица, награжденные нагрудным знаком «Почетный донор»;</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r w:rsidRPr="00545A72">
        <w:rPr>
          <w:rFonts w:ascii="Tahoma" w:eastAsia="Times New Roman" w:hAnsi="Tahoma" w:cs="Tahoma"/>
          <w:color w:val="525252"/>
          <w:sz w:val="20"/>
          <w:szCs w:val="20"/>
          <w:lang w:eastAsia="ru-RU"/>
        </w:rPr>
        <w:lastRenderedPageBreak/>
        <w:t>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реабилитированные лица и лица, признанные пострадавшими от политических репрессий, проживающие на территории Курской области;</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6 месяцев, военнослужащие, награжденные орденами и медалями СССР за службу в указанный период;</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а также граждане, приравненные к ним по состоянию на 31 декабря 2004 года, проживающие в Курской области;</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ветераны труда, ветераны военной службы, ветераны государственной службы по достижении ими возраста, дающего право на пенсию по старости;</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труженики тыла;</w:t>
      </w:r>
    </w:p>
    <w:p w:rsidR="00545A72" w:rsidRPr="00545A72" w:rsidRDefault="00545A72" w:rsidP="00545A72">
      <w:pPr>
        <w:numPr>
          <w:ilvl w:val="0"/>
          <w:numId w:val="17"/>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категории граждан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приравненные к ним категории граждан.</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Плановая медицинская помощь в амбулаторных условиях оказывается гражданам во внеочередном порядке по месту прикрепления.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Основанием для внеочередного оказания медицинской помощи является документ, подтверждающий льготную категорию граждан.</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(при отсутствии показаний для оказания неотложной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br/>
        <w:t>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w:t>
      </w:r>
      <w:r w:rsidRPr="00545A72">
        <w:rPr>
          <w:rFonts w:ascii="Tahoma" w:eastAsia="Times New Roman" w:hAnsi="Tahoma" w:cs="Tahoma"/>
          <w:color w:val="525252"/>
          <w:sz w:val="20"/>
          <w:szCs w:val="20"/>
          <w:lang w:eastAsia="ru-RU"/>
        </w:rPr>
        <w:lastRenderedPageBreak/>
        <w:t>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Обеспечение лекарственными препаратами, необходимыми для оказания стационарной, скорой и неотложной медицинской помощи, осуществляется в соответствии с утвержденным в установленном порядке формулярным перечнем медицинской организации.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Формулярный перечень разрабатывается формулярной комиссией, состав которой утверждается главным врачом медицинской организации. Формулярный перечень включает в себя лекарственные препараты, необходимые для осуществления лечебного процесса в соответствии со стандартами оказания медицинской помощи и перечнем жизненно необходимых и важнейших лекарственных препаратов в соответствии с Федеральным законом от 12 апреля 2010 года №61-ФЗ «Об обращении лекарственных средств». Формулярный перечень лекарственных препаратов формируется по международным непатентованным или химическим наименованиям, а в случае их отсутствия - по торговым наименованиям лекарственных средств.</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br/>
        <w:t>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рамках территориальной программы осуществляются следующие мероприятия по профилактике заболеваний и формированию здорового образа жизни, в том числе:</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 проведению профилактических прививок, профилактических осмотров и диспансерного наблюдения граждан (включая здоровых детей);</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 профилактике абортов;</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 сохранению индивидуального здоровья граждан и формированию у них здорового образа жизни;</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 диагностике и лечению заболеваний, включая практику оказания консультативно-диагностической помощи жителям сельских районов, в том числе в условиях передвижного клинико-диагностического центра;</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мероприятия, связанные с восстановительным лечением и реабилитацией;</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лабораторное обследование контактных лиц в очагах инфекционных заболеваний;</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плановый осмотр по поводу диспансерного наблюдения;</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врачебный осмотр пациентов перед вакцинацией (взрослые, дети), после вакцинации (дети), перед и через три дня после постановки пробы Манту;</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посещения педиатром беременных, связанные с дородовым патронажем, предусмотренные нормативными документами Министерства здравоохранения Российской Федерации;</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медицинские консультации при определении профессиональной пригодности подростков до 17 лет включительно;</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медицинское освидетельствование безработных граждан при направлении органами службы занятости населения на профессиональное обучение;</w:t>
      </w:r>
    </w:p>
    <w:p w:rsidR="00545A72" w:rsidRPr="00545A72" w:rsidRDefault="00545A72" w:rsidP="00545A72">
      <w:pPr>
        <w:numPr>
          <w:ilvl w:val="0"/>
          <w:numId w:val="18"/>
        </w:numPr>
        <w:shd w:val="clear" w:color="auto" w:fill="FFFFFF"/>
        <w:spacing w:before="100" w:beforeAutospacing="1" w:after="100" w:afterAutospacing="1" w:line="240" w:lineRule="auto"/>
        <w:ind w:left="1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медицинское освидетельствование граждан из числа кандидатов в замещающие родители.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br/>
        <w:t>5. Сроки ожидания медицинской помощи, оказываемой в плановой форме, а также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и врачей-специалистов.</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были проведены в амбулаторных условиях.</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Во время стационарного лечения допускается очередность направления больных на плановые диагностические исследования.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Министерством здравоохранения Российской Федерации.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Организация приема медицинскими работниками пациентов в амбулаторных условиях (в том числе предварительная запись) и порядок вызова врача на дом регламентируются внутренними правилами работы медицинской организации.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Время ожидания приема не должно превышать тридцати минут со времени, назначенного пациенту, за исключением случаев, когда врач участвует в оказании экстренной помощи другому пациенту.</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а также при самообращении. Сроки проведения консультаций врачей-специалистов не должны превышать 14 календарных дней со дня обращения пациента. Срок приема врачами-терапевтами участковыми, врачами общей практики (семейными врачами), врачами –педиатрами не должны превышать 24 часов с момента обращения пациента в медицинскую организацию.</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а для пациентов с онкологическими заболеваниями – 14 календарных дней со дня назначения.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Срок ожидания оказания специализированной, за исключением высокотехнологичной, медицинской помощи не должен превышать 30 календарных дней со дня выдачи лечащим врачом направления на госпитализацию, а для пациентов с онкологическими заболеваниями – не должен превышать 14 календарных дней с момента гистологической верификации опухоли или с момента установления диагноза заболевания (состояния) (при условии обращения пациента за госпитализацией в рекомендуемые лечащим врачом сроки).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br/>
      </w:r>
      <w:r w:rsidRPr="00545A72">
        <w:rPr>
          <w:rFonts w:ascii="Tahoma" w:eastAsia="Times New Roman" w:hAnsi="Tahoma" w:cs="Tahoma"/>
          <w:b/>
          <w:bCs/>
          <w:color w:val="525252"/>
          <w:sz w:val="20"/>
          <w:szCs w:val="20"/>
          <w:lang w:eastAsia="ru-RU"/>
        </w:rPr>
        <w:t>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госпитализации в стационар больные размещаются в палатах с соблюдением санитарно-гигиенических норм.</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госпитализации ребенка с взрослым по уходу за ним одному из родителей, иному члену семьи или иному законному представителю предоставляется право на совместное нахождение в медицинской организации.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одному из родителей, иному члену семьи или иному законному представителю  создаются условия пребывания в стационарных условиях, включая предоставление спального места и  питания бесплатно.</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br/>
      </w:r>
      <w:r w:rsidRPr="00545A72">
        <w:rPr>
          <w:rFonts w:ascii="Tahoma" w:eastAsia="Times New Roman" w:hAnsi="Tahoma" w:cs="Tahoma"/>
          <w:b/>
          <w:bCs/>
          <w:color w:val="525252"/>
          <w:sz w:val="20"/>
          <w:szCs w:val="20"/>
          <w:lang w:eastAsia="ru-RU"/>
        </w:rPr>
        <w:t>7.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Пациенты, имеющие медицинские и (или) эпидемиологические показания, в соответствии с приказом Министерства здравоохранения и социального развития Российской Федерации от 15 мая 2012 г.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br/>
      </w:r>
      <w:r w:rsidRPr="00545A72">
        <w:rPr>
          <w:rFonts w:ascii="Tahoma" w:eastAsia="Times New Roman" w:hAnsi="Tahoma" w:cs="Tahoma"/>
          <w:b/>
          <w:bCs/>
          <w:color w:val="525252"/>
          <w:sz w:val="20"/>
          <w:szCs w:val="20"/>
          <w:lang w:eastAsia="ru-RU"/>
        </w:rP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Плановая медицинская помощь 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Курской области, во внеочередном порядке предоставляется детям-сиротам и детям, оставшимся без попечения родителей. При совместном нахождении в медицинской организации в стационарных условиях с ребенком из числа детей-сирот и детей, оставшихся без попечения родителей, независимо от возраста, законному представителю создаются условия пребывания в стационарных условиях, включая предоставление спального места и  питания бесплатно.</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br/>
      </w:r>
      <w:r w:rsidRPr="00545A72">
        <w:rPr>
          <w:rFonts w:ascii="Tahoma" w:eastAsia="Times New Roman" w:hAnsi="Tahoma" w:cs="Tahoma"/>
          <w:b/>
          <w:bCs/>
          <w:color w:val="525252"/>
          <w:sz w:val="20"/>
          <w:szCs w:val="20"/>
          <w:lang w:eastAsia="ru-RU"/>
        </w:rPr>
        <w:t>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Данная услуга оказывается пациенту без взимания платы.</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Транспортное средство предоставляется медицинской организацией, в которой пациент находится на стационарном лечении, или по договоренности с иной медицинской организацией, оказывающей скорую медицинскую помощь в случае необходимости осуществления медицинской эвакуации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br/>
      </w:r>
      <w:r w:rsidRPr="00545A72">
        <w:rPr>
          <w:rFonts w:ascii="Tahoma" w:eastAsia="Times New Roman" w:hAnsi="Tahoma" w:cs="Tahoma"/>
          <w:b/>
          <w:bCs/>
          <w:color w:val="525252"/>
          <w:sz w:val="20"/>
          <w:szCs w:val="20"/>
          <w:lang w:eastAsia="ru-RU"/>
        </w:rPr>
        <w:t>10. Условия и сроки диспансеризации населения для отдельных категорий населения, профилактических осмотров несовершеннолетних</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Диспансеризация населения, в том числе профилактические осмотры несовершеннолетних, представляет собой комплекс мероприятий, включающий в себя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Диспансеризация населения осуществляется медицинскими организациями, участвующими в реализации территориальной программы, в соответствии с порядками проведения диспансеризации определенных групп взрослого населения, профилактические осмотры несовершеннолетних, отдельных категорий граждан, включая студентов, обучающихся по очной форме на бюджетной основе, утвержденными нормативными документами Министерства здравоохранения Российской Федерации.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Диспансеризация проводится медицинскими организациями в соответствии с планом-графиком, сформированным с учетом численности и поименных списков граждан, подлежащих диспансеризации.</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При отсутствии необходимых врачей-специалистов, лабораторных и функциональных исследований в медицинской организации консультации врачей-специалистов и диагностические исследования для проведения диспансеризации определенных групп взрослого населения, отдельных категорий граждан, включая студентов, обучающихся по очной форме на бюджетной основе, в полном объеме могут проводиться с привлечением специалистов других медицинских организаций в установленном порядке.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 Возможно осуществление осмотров детей специалистами общей лечебной сети при наличии лицензии на вид медицинской деятельности и сертификата специалиста.</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br/>
      </w:r>
      <w:r w:rsidRPr="00545A72">
        <w:rPr>
          <w:rFonts w:ascii="Tahoma" w:eastAsia="Times New Roman" w:hAnsi="Tahoma" w:cs="Tahoma"/>
          <w:b/>
          <w:bCs/>
          <w:color w:val="525252"/>
          <w:sz w:val="20"/>
          <w:szCs w:val="20"/>
          <w:lang w:eastAsia="ru-RU"/>
        </w:rPr>
        <w:t>11. Порядок и размеры возмещения расходов, связанных с оказанием гражданам медицинской помощи в экстренной форме</w:t>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установленном разделом IV настоящей территориальной программы. Размеры возмещения расходов, связанных с оказанием гражданам медицинской помощи в экстренной форме, соответствуют тарифам на оплату медицинской помощи по обязательному медицинскому страхованию, установленным тарифным соглашением, и нормативам затрат на оказание государственных услуг.</w:t>
      </w:r>
    </w:p>
    <w:p w:rsidR="00545A72" w:rsidRPr="00545A72" w:rsidRDefault="00545A72" w:rsidP="00545A72">
      <w:pPr>
        <w:shd w:val="clear" w:color="auto" w:fill="FFFFFF"/>
        <w:spacing w:before="100" w:beforeAutospacing="1" w:after="100" w:afterAutospacing="1" w:line="240" w:lineRule="auto"/>
        <w:ind w:firstLine="450"/>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IX. Целевые значения критериев доступности и качества медицинской помощи, оказываемой в рамках территориальной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2"/>
        <w:gridCol w:w="7951"/>
        <w:gridCol w:w="1056"/>
      </w:tblGrid>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w:t>
            </w:r>
            <w:r w:rsidRPr="00545A72">
              <w:rPr>
                <w:rFonts w:ascii="Tahoma" w:eastAsia="Times New Roman" w:hAnsi="Tahoma" w:cs="Tahoma"/>
                <w:color w:val="525252"/>
                <w:sz w:val="20"/>
                <w:szCs w:val="20"/>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Критерии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Целевые значения</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Удовлетворенность населения медицинской помощью (процент от числа опрошенных), всего</w:t>
            </w:r>
            <w:r w:rsidRPr="00545A72">
              <w:rPr>
                <w:rFonts w:ascii="Tahoma" w:eastAsia="Times New Roman" w:hAnsi="Tahoma" w:cs="Tahoma"/>
                <w:color w:val="525252"/>
                <w:sz w:val="20"/>
                <w:szCs w:val="20"/>
                <w:lang w:eastAsia="ru-RU"/>
              </w:rPr>
              <w:b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56,00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городского населения (процент от числа опрошенных)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58,00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сельского населения (процент от числа опрошенных)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52,00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Смертность населения в трудоспособном возрасте (число умерших в трудоспособном возрасте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532,70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умерших в трудоспособном возрасте на дому в общем количестве умерших в трудоспособном возрасте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38,15%</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Материнская смертность (случаев на 100 тыс. родившихся живыми)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15,50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Младенческая смертность (на 1000 родившихся живыми), всего</w:t>
            </w:r>
            <w:r w:rsidRPr="00545A72">
              <w:rPr>
                <w:rFonts w:ascii="Tahoma" w:eastAsia="Times New Roman" w:hAnsi="Tahoma" w:cs="Tahoma"/>
                <w:color w:val="525252"/>
                <w:sz w:val="20"/>
                <w:szCs w:val="20"/>
                <w:lang w:eastAsia="ru-RU"/>
              </w:rPr>
              <w:b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5,40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городского населения (случаев на 1000 родившихся живыми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4,30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сельского населения (случаев на 1000 родившихся живыми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7,80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умерших в возрасте до 1 года на дому в общем количестве умерших в возрасте до 1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Смертность детей в возрасте 0 - 4 лет (на 1000 родившихся живыми)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6,5</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Смертность населения (число умерших на 1000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15,0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Смертность городского населения (число умерших на 1000 человек городского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11,75</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Смертность сельского населения (число умерших на 1000 человек сельского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17,5</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умерших в возрасте 0 - 4 лет на дому в общем количестве умерших в возрасте 0 – 4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16,00%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Смертность детей в возрасте 0 - 17 лет (на 100 тыс. человек населения соответствующего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60,00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умерших в возрасте 0–17 лет на дому в общем количестве умерших в возрасте 0-17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17,00%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12,90%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56,50%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54,50%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57,80%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35,10%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17,2%</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числа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30,00%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30,00%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240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b/>
                <w:bCs/>
                <w:color w:val="525252"/>
                <w:sz w:val="20"/>
                <w:szCs w:val="20"/>
                <w:lang w:eastAsia="ru-RU"/>
              </w:rPr>
              <w:t>Критерии доступности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Обеспеченность населения врачами (на 10 тыс. человек населения), всего,</w:t>
            </w:r>
            <w:r w:rsidRPr="00545A72">
              <w:rPr>
                <w:rFonts w:ascii="Tahoma" w:eastAsia="Times New Roman" w:hAnsi="Tahoma" w:cs="Tahoma"/>
                <w:color w:val="525252"/>
                <w:sz w:val="20"/>
                <w:szCs w:val="20"/>
                <w:lang w:eastAsia="ru-RU"/>
              </w:rPr>
              <w:b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41,3</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городского населения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39,0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сельского населения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18,0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Обеспеченность населения врачами, оказывающими медицинскую помощь в амбулаторных условиях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23,1</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Обеспеченность населения врачами, оказывающими медицинскую помощь в стационарных условиях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17,9</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Обеспеченность населения средним медицинским персоналом (на 10 тыс. человек населения), всего,</w:t>
            </w:r>
            <w:r w:rsidRPr="00545A72">
              <w:rPr>
                <w:rFonts w:ascii="Tahoma" w:eastAsia="Times New Roman" w:hAnsi="Tahoma" w:cs="Tahoma"/>
                <w:color w:val="525252"/>
                <w:sz w:val="20"/>
                <w:szCs w:val="20"/>
                <w:lang w:eastAsia="ru-RU"/>
              </w:rPr>
              <w:b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92</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городского населения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44,8</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сельского населения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53,1</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41,5</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45,1</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8,10%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2,60%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охвата диспансеризацией взрослого населения, подлежащего диспансеризации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90,00%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охвата профилактическими медицинскими осмотрами взрослого населения, подлежащего профилактическим и медицинским осмотрам всего,</w:t>
            </w:r>
            <w:r w:rsidRPr="00545A72">
              <w:rPr>
                <w:rFonts w:ascii="Tahoma" w:eastAsia="Times New Roman" w:hAnsi="Tahoma" w:cs="Tahoma"/>
                <w:color w:val="525252"/>
                <w:sz w:val="20"/>
                <w:szCs w:val="20"/>
                <w:lang w:eastAsia="ru-RU"/>
              </w:rPr>
              <w:b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90,00%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городских жителей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сельских жителей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85,00%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охвата профилактическими медицинскими осмотрами детей, подлежащих профилактическим медицинским осмотрам всего,</w:t>
            </w:r>
            <w:r w:rsidRPr="00545A72">
              <w:rPr>
                <w:rFonts w:ascii="Tahoma" w:eastAsia="Times New Roman" w:hAnsi="Tahoma" w:cs="Tahoma"/>
                <w:color w:val="525252"/>
                <w:sz w:val="20"/>
                <w:szCs w:val="20"/>
                <w:lang w:eastAsia="ru-RU"/>
              </w:rPr>
              <w:b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95,0%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городских жителей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сельских жителей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95,0%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2,50%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Число лиц, проживающих в сельской местности, которым оказана скорая медицинская помощь, на 1000 человек сельского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260,00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15,00%</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1,25%</w:t>
            </w:r>
          </w:p>
        </w:tc>
      </w:tr>
      <w:tr w:rsidR="00545A72" w:rsidRPr="00545A72" w:rsidTr="00545A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Доля женщин, которым проведено экстракорпоральное оплодотворение в общем количестве женщин с бесплодием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45A72" w:rsidRPr="00545A72" w:rsidRDefault="00545A72" w:rsidP="00545A72">
            <w:pPr>
              <w:spacing w:after="0" w:line="240" w:lineRule="auto"/>
              <w:jc w:val="center"/>
              <w:rPr>
                <w:rFonts w:ascii="Tahoma" w:eastAsia="Times New Roman" w:hAnsi="Tahoma" w:cs="Tahoma"/>
                <w:color w:val="525252"/>
                <w:sz w:val="20"/>
                <w:szCs w:val="20"/>
                <w:lang w:eastAsia="ru-RU"/>
              </w:rPr>
            </w:pPr>
            <w:r w:rsidRPr="00545A72">
              <w:rPr>
                <w:rFonts w:ascii="Tahoma" w:eastAsia="Times New Roman" w:hAnsi="Tahoma" w:cs="Tahoma"/>
                <w:color w:val="525252"/>
                <w:sz w:val="20"/>
                <w:szCs w:val="20"/>
                <w:lang w:eastAsia="ru-RU"/>
              </w:rPr>
              <w:t>20,00%</w:t>
            </w:r>
          </w:p>
        </w:tc>
      </w:tr>
    </w:tbl>
    <w:p w:rsidR="00545A72" w:rsidRPr="00545A72" w:rsidRDefault="00545A72" w:rsidP="00545A72">
      <w:pPr>
        <w:spacing w:after="0" w:line="240" w:lineRule="auto"/>
        <w:rPr>
          <w:rFonts w:ascii="Times New Roman" w:eastAsia="Times New Roman" w:hAnsi="Times New Roman" w:cs="Times New Roman"/>
          <w:sz w:val="24"/>
          <w:szCs w:val="24"/>
          <w:lang w:eastAsia="ru-RU"/>
        </w:rPr>
      </w:pPr>
      <w:r w:rsidRPr="00545A72">
        <w:rPr>
          <w:rFonts w:ascii="Tahoma" w:eastAsia="Times New Roman" w:hAnsi="Tahoma" w:cs="Tahoma"/>
          <w:color w:val="525252"/>
          <w:sz w:val="20"/>
          <w:szCs w:val="20"/>
          <w:lang w:eastAsia="ru-RU"/>
        </w:rPr>
        <w:br/>
      </w:r>
      <w:r w:rsidRPr="00545A72">
        <w:rPr>
          <w:rFonts w:ascii="Tahoma" w:eastAsia="Times New Roman" w:hAnsi="Tahoma" w:cs="Tahoma"/>
          <w:color w:val="525252"/>
          <w:sz w:val="20"/>
          <w:szCs w:val="20"/>
          <w:lang w:eastAsia="ru-RU"/>
        </w:rPr>
        <w:br/>
      </w:r>
    </w:p>
    <w:p w:rsidR="00545A72" w:rsidRPr="00545A72" w:rsidRDefault="00545A72" w:rsidP="00545A72">
      <w:pPr>
        <w:shd w:val="clear" w:color="auto" w:fill="FFFFFF"/>
        <w:spacing w:before="100" w:beforeAutospacing="1" w:after="100" w:afterAutospacing="1" w:line="240" w:lineRule="auto"/>
        <w:ind w:firstLine="450"/>
        <w:rPr>
          <w:rFonts w:ascii="Tahoma" w:eastAsia="Times New Roman" w:hAnsi="Tahoma" w:cs="Tahoma"/>
          <w:color w:val="525252"/>
          <w:sz w:val="20"/>
          <w:szCs w:val="20"/>
          <w:lang w:eastAsia="ru-RU"/>
        </w:rPr>
      </w:pPr>
      <w:r w:rsidRPr="00545A72">
        <w:rPr>
          <w:rFonts w:ascii="Tahoma" w:eastAsia="Times New Roman" w:hAnsi="Tahoma" w:cs="Tahoma"/>
          <w:i/>
          <w:iCs/>
          <w:color w:val="525252"/>
          <w:sz w:val="20"/>
          <w:szCs w:val="20"/>
          <w:lang w:eastAsia="ru-RU"/>
        </w:rPr>
        <w:t>Ознакомиться с полным текстом территориальной Программы государственных гарантий на 2019 год и плановый период 2020-2021 гг. можно </w:t>
      </w:r>
      <w:hyperlink r:id="rId7" w:history="1">
        <w:r w:rsidRPr="00545A72">
          <w:rPr>
            <w:rFonts w:ascii="Tahoma" w:eastAsia="Times New Roman" w:hAnsi="Tahoma" w:cs="Tahoma"/>
            <w:i/>
            <w:iCs/>
            <w:color w:val="9D080D"/>
            <w:sz w:val="20"/>
            <w:szCs w:val="20"/>
            <w:lang w:eastAsia="ru-RU"/>
          </w:rPr>
          <w:t>на сайте Администрации Курской области</w:t>
        </w:r>
      </w:hyperlink>
      <w:r w:rsidRPr="00545A72">
        <w:rPr>
          <w:rFonts w:ascii="Tahoma" w:eastAsia="Times New Roman" w:hAnsi="Tahoma" w:cs="Tahoma"/>
          <w:i/>
          <w:iCs/>
          <w:color w:val="525252"/>
          <w:sz w:val="20"/>
          <w:szCs w:val="20"/>
          <w:lang w:eastAsia="ru-RU"/>
        </w:rPr>
        <w:t>.</w:t>
      </w:r>
    </w:p>
    <w:p w:rsidR="000247AB" w:rsidRDefault="000247AB"/>
    <w:sectPr w:rsidR="00024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5F0A"/>
    <w:multiLevelType w:val="multilevel"/>
    <w:tmpl w:val="7C7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4EE1"/>
    <w:multiLevelType w:val="multilevel"/>
    <w:tmpl w:val="AD4E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20A91"/>
    <w:multiLevelType w:val="multilevel"/>
    <w:tmpl w:val="3EB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0027C"/>
    <w:multiLevelType w:val="multilevel"/>
    <w:tmpl w:val="183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534F3"/>
    <w:multiLevelType w:val="multilevel"/>
    <w:tmpl w:val="0AD0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B7CFF"/>
    <w:multiLevelType w:val="multilevel"/>
    <w:tmpl w:val="3ECC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406DD"/>
    <w:multiLevelType w:val="multilevel"/>
    <w:tmpl w:val="103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C3217"/>
    <w:multiLevelType w:val="multilevel"/>
    <w:tmpl w:val="AF8A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023CB"/>
    <w:multiLevelType w:val="multilevel"/>
    <w:tmpl w:val="BC8C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771FD"/>
    <w:multiLevelType w:val="multilevel"/>
    <w:tmpl w:val="734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26851"/>
    <w:multiLevelType w:val="multilevel"/>
    <w:tmpl w:val="506A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111C5"/>
    <w:multiLevelType w:val="multilevel"/>
    <w:tmpl w:val="D4C0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A4135"/>
    <w:multiLevelType w:val="multilevel"/>
    <w:tmpl w:val="808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62B61"/>
    <w:multiLevelType w:val="multilevel"/>
    <w:tmpl w:val="CAB4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B2E54"/>
    <w:multiLevelType w:val="multilevel"/>
    <w:tmpl w:val="228C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EE03AC"/>
    <w:multiLevelType w:val="multilevel"/>
    <w:tmpl w:val="0AC8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1E2F5E"/>
    <w:multiLevelType w:val="multilevel"/>
    <w:tmpl w:val="B676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73498"/>
    <w:multiLevelType w:val="multilevel"/>
    <w:tmpl w:val="F822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7"/>
  </w:num>
  <w:num w:numId="5">
    <w:abstractNumId w:val="17"/>
  </w:num>
  <w:num w:numId="6">
    <w:abstractNumId w:val="11"/>
  </w:num>
  <w:num w:numId="7">
    <w:abstractNumId w:val="13"/>
  </w:num>
  <w:num w:numId="8">
    <w:abstractNumId w:val="10"/>
  </w:num>
  <w:num w:numId="9">
    <w:abstractNumId w:val="12"/>
  </w:num>
  <w:num w:numId="10">
    <w:abstractNumId w:val="4"/>
  </w:num>
  <w:num w:numId="11">
    <w:abstractNumId w:val="8"/>
  </w:num>
  <w:num w:numId="12">
    <w:abstractNumId w:val="14"/>
  </w:num>
  <w:num w:numId="13">
    <w:abstractNumId w:val="15"/>
  </w:num>
  <w:num w:numId="14">
    <w:abstractNumId w:val="0"/>
  </w:num>
  <w:num w:numId="15">
    <w:abstractNumId w:val="16"/>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8B"/>
    <w:rsid w:val="000247AB"/>
    <w:rsid w:val="0044108B"/>
    <w:rsid w:val="00545A72"/>
    <w:rsid w:val="0070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B6413-D82E-4AF5-A09B-12CAD58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A7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45A72"/>
    <w:rPr>
      <w:color w:val="0000FF"/>
      <w:u w:val="single"/>
    </w:rPr>
  </w:style>
  <w:style w:type="paragraph" w:styleId="a4">
    <w:name w:val="Normal (Web)"/>
    <w:basedOn w:val="a"/>
    <w:uiPriority w:val="99"/>
    <w:semiHidden/>
    <w:unhideWhenUsed/>
    <w:rsid w:val="0054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5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rkursk.ru/index.php?id=109&amp;mat_id=87867&amp;query=1078-%EF%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zdp8.ru/docs/medhelp2019kursk.php" TargetMode="External"/><Relationship Id="rId5" Type="http://schemas.openxmlformats.org/officeDocument/2006/relationships/hyperlink" Target="https://adm.rkursk.ru/index.php?id=109&amp;mat_id=87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11404</Words>
  <Characters>65006</Characters>
  <Application>Microsoft Office Word</Application>
  <DocSecurity>0</DocSecurity>
  <Lines>541</Lines>
  <Paragraphs>152</Paragraphs>
  <ScaleCrop>false</ScaleCrop>
  <Company>SPecialiST RePack</Company>
  <LinksUpToDate>false</LinksUpToDate>
  <CharactersWithSpaces>76258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dc:creator>
  <cp:keywords/>
  <dc:description/>
  <cp:lastModifiedBy>корнев</cp:lastModifiedBy>
  <cp:revision>5</cp:revision>
  <dcterms:created xsi:type="dcterms:W3CDTF">2019-02-28T16:18:00Z</dcterms:created>
  <dcterms:modified xsi:type="dcterms:W3CDTF">2019-06-08T11:20:00Z</dcterms:modified>
</cp:coreProperties>
</file>